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259F9387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" strokeweight=".5pt">
                <v:textbox inset="5.85pt,.7pt,5.85pt,.7pt">
                  <w:txbxContent>
                    <w:p w14:paraId="1E2473AF" w14:textId="259F9387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54883A6B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【非食品】におけるコンプライアンスセミナー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184B6C67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B47332">
        <w:rPr>
          <w:rFonts w:ascii="游ゴシック" w:eastAsia="游ゴシック" w:hAnsi="游ゴシック" w:hint="eastAsia"/>
          <w:b/>
          <w:sz w:val="24"/>
        </w:rPr>
        <w:t>２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B47332">
        <w:rPr>
          <w:rFonts w:ascii="游ゴシック" w:eastAsia="游ゴシック" w:hAnsi="游ゴシック" w:hint="eastAsia"/>
          <w:b/>
          <w:sz w:val="24"/>
        </w:rPr>
        <w:t>２</w:t>
      </w:r>
      <w:r w:rsidR="006B0CF0">
        <w:rPr>
          <w:rFonts w:ascii="游ゴシック" w:eastAsia="游ゴシック" w:hAnsi="游ゴシック" w:hint="eastAsia"/>
          <w:b/>
          <w:sz w:val="24"/>
        </w:rPr>
        <w:t>５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6B0CF0">
        <w:rPr>
          <w:rFonts w:ascii="游ゴシック" w:eastAsia="游ゴシック" w:hAnsi="游ゴシック" w:hint="eastAsia"/>
          <w:b/>
          <w:sz w:val="24"/>
        </w:rPr>
        <w:t>金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322581D1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２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２５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金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2</cp:revision>
  <cp:lastPrinted>2021-08-11T06:44:00Z</cp:lastPrinted>
  <dcterms:created xsi:type="dcterms:W3CDTF">2022-01-12T04:56:00Z</dcterms:created>
  <dcterms:modified xsi:type="dcterms:W3CDTF">2022-01-12T04:56:00Z</dcterms:modified>
</cp:coreProperties>
</file>